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adjustRightInd w:val="0"/>
        <w:snapToGrid w:val="0"/>
        <w:spacing w:before="0" w:beforeLines="0" w:after="0" w:afterLines="0"/>
        <w:jc w:val="center"/>
        <w:rPr>
          <w:b w:val="0"/>
          <w:bCs/>
        </w:rPr>
      </w:pPr>
      <w:bookmarkStart w:id="0" w:name="_GoBack"/>
      <w:bookmarkEnd w:id="0"/>
      <w:r>
        <w:rPr>
          <w:rFonts w:hint="eastAsia"/>
          <w:b w:val="0"/>
          <w:bCs/>
        </w:rPr>
        <w:t>项目需求</w:t>
      </w:r>
    </w:p>
    <w:p>
      <w:pPr>
        <w:widowControl/>
        <w:shd w:val="clear" w:color="auto" w:fill="FFFFFF"/>
        <w:adjustRightInd w:val="0"/>
        <w:snapToGrid w:val="0"/>
        <w:spacing w:line="560" w:lineRule="exact"/>
        <w:jc w:val="left"/>
        <w:outlineLvl w:val="1"/>
        <w:rPr>
          <w:rFonts w:ascii="宋体" w:hAnsi="宋体" w:cs="宋体"/>
          <w:b/>
          <w:bCs/>
          <w:color w:val="000000"/>
          <w:szCs w:val="21"/>
          <w:lang w:val="zh-CN"/>
        </w:rPr>
      </w:pPr>
      <w:r>
        <w:rPr>
          <w:rFonts w:hint="eastAsia" w:ascii="宋体" w:hAnsi="宋体" w:cs="宋体"/>
          <w:b/>
          <w:bCs/>
          <w:color w:val="000000"/>
          <w:szCs w:val="21"/>
          <w:lang w:val="zh-CN"/>
        </w:rPr>
        <w:t>一、项目概况</w:t>
      </w:r>
    </w:p>
    <w:p>
      <w:pPr>
        <w:pStyle w:val="5"/>
        <w:keepNext w:val="0"/>
        <w:keepLines w:val="0"/>
        <w:numPr>
          <w:ilvl w:val="2"/>
          <w:numId w:val="0"/>
        </w:numPr>
        <w:wordWrap/>
        <w:adjustRightInd w:val="0"/>
        <w:snapToGrid w:val="0"/>
        <w:spacing w:line="560" w:lineRule="exact"/>
        <w:ind w:firstLine="632" w:firstLineChars="300"/>
        <w:jc w:val="left"/>
        <w:rPr>
          <w:rFonts w:cs="宋体"/>
        </w:rPr>
      </w:pPr>
      <w:r>
        <w:rPr>
          <w:rFonts w:hint="eastAsia"/>
          <w:color w:val="000000"/>
          <w:kern w:val="0"/>
          <w:shd w:val="clear" w:color="auto" w:fill="FFFFFF"/>
        </w:rPr>
        <w:t>中国教育和科研计算机网（CERNET）（以下简称教育网）是由国家投资建设，教育部负责管理，清华大学等高等学校承担建设和管理运行的全国性学术计算机互联网络。其主要面向教育和科研单位，是全国最大的教育互联网络。承担着EDU.CN域名分配，支撑保障我国每年的全国高考网上招生录取等工作。扬州市职业大学校园网接入教育网，是学校信息化建设的重要组成部分，对学校教学科研具有不可替代的支撑作用。</w:t>
      </w:r>
    </w:p>
    <w:p>
      <w:pPr>
        <w:widowControl/>
        <w:shd w:val="clear" w:color="auto" w:fill="FFFFFF"/>
        <w:adjustRightInd w:val="0"/>
        <w:snapToGrid w:val="0"/>
        <w:spacing w:line="560" w:lineRule="exact"/>
        <w:jc w:val="left"/>
        <w:outlineLvl w:val="1"/>
        <w:rPr>
          <w:rFonts w:ascii="宋体" w:hAnsi="宋体" w:cs="宋体"/>
          <w:b/>
          <w:bCs/>
          <w:color w:val="000000"/>
          <w:szCs w:val="21"/>
          <w:lang w:val="zh-CN"/>
        </w:rPr>
      </w:pPr>
      <w:r>
        <w:rPr>
          <w:rFonts w:hint="eastAsia" w:ascii="宋体" w:hAnsi="宋体" w:cs="宋体"/>
          <w:b/>
          <w:bCs/>
          <w:color w:val="000000"/>
          <w:szCs w:val="21"/>
          <w:lang w:val="zh-CN"/>
        </w:rPr>
        <w:t>二、项目需求清单</w:t>
      </w:r>
    </w:p>
    <w:tbl>
      <w:tblPr>
        <w:tblStyle w:val="1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3746"/>
        <w:gridCol w:w="1349"/>
        <w:gridCol w:w="729"/>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序号</w:t>
            </w:r>
          </w:p>
        </w:tc>
        <w:tc>
          <w:tcPr>
            <w:tcW w:w="3746"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产品/服务名称</w:t>
            </w:r>
          </w:p>
        </w:tc>
        <w:tc>
          <w:tcPr>
            <w:tcW w:w="1349"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数量</w:t>
            </w:r>
          </w:p>
        </w:tc>
        <w:tc>
          <w:tcPr>
            <w:tcW w:w="729"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单位</w:t>
            </w:r>
          </w:p>
        </w:tc>
        <w:tc>
          <w:tcPr>
            <w:tcW w:w="1039"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1</w:t>
            </w:r>
          </w:p>
        </w:tc>
        <w:tc>
          <w:tcPr>
            <w:tcW w:w="3746"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域名服务：</w:t>
            </w:r>
            <w:r>
              <w:rPr>
                <w:rFonts w:ascii="宋体" w:hAnsi="宋体" w:cs="宋体"/>
                <w:sz w:val="21"/>
                <w:szCs w:val="21"/>
              </w:rPr>
              <w:t>yzpc.edu.cn</w:t>
            </w:r>
          </w:p>
        </w:tc>
        <w:tc>
          <w:tcPr>
            <w:tcW w:w="1349"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ascii="宋体" w:hAnsi="宋体" w:cs="宋体"/>
                <w:sz w:val="21"/>
                <w:szCs w:val="21"/>
              </w:rPr>
              <w:t>1</w:t>
            </w:r>
          </w:p>
        </w:tc>
        <w:tc>
          <w:tcPr>
            <w:tcW w:w="729"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个</w:t>
            </w:r>
          </w:p>
        </w:tc>
        <w:tc>
          <w:tcPr>
            <w:tcW w:w="1039" w:type="dxa"/>
            <w:vAlign w:val="center"/>
          </w:tcPr>
          <w:p>
            <w:pPr>
              <w:pStyle w:val="10"/>
              <w:autoSpaceDE w:val="0"/>
              <w:autoSpaceDN w:val="0"/>
              <w:adjustRightInd w:val="0"/>
              <w:snapToGrid w:val="0"/>
              <w:spacing w:line="560" w:lineRule="exact"/>
              <w:ind w:left="0"/>
              <w:jc w:val="lef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2</w:t>
            </w:r>
          </w:p>
        </w:tc>
        <w:tc>
          <w:tcPr>
            <w:tcW w:w="3746"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I</w:t>
            </w:r>
            <w:r>
              <w:rPr>
                <w:rFonts w:ascii="宋体" w:hAnsi="宋体" w:cs="宋体"/>
                <w:sz w:val="21"/>
                <w:szCs w:val="21"/>
              </w:rPr>
              <w:t>P</w:t>
            </w:r>
            <w:r>
              <w:rPr>
                <w:rFonts w:hint="eastAsia" w:ascii="宋体" w:hAnsi="宋体" w:cs="宋体"/>
                <w:sz w:val="21"/>
                <w:szCs w:val="21"/>
              </w:rPr>
              <w:t>地址服务：教育网I</w:t>
            </w:r>
            <w:r>
              <w:rPr>
                <w:rFonts w:ascii="宋体" w:hAnsi="宋体" w:cs="宋体"/>
                <w:sz w:val="21"/>
                <w:szCs w:val="21"/>
              </w:rPr>
              <w:t>PV4</w:t>
            </w:r>
            <w:r>
              <w:rPr>
                <w:rFonts w:hint="eastAsia" w:ascii="宋体" w:hAnsi="宋体" w:cs="宋体"/>
                <w:sz w:val="21"/>
                <w:szCs w:val="21"/>
              </w:rPr>
              <w:t>地址</w:t>
            </w:r>
          </w:p>
        </w:tc>
        <w:tc>
          <w:tcPr>
            <w:tcW w:w="1349"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ascii="宋体" w:hAnsi="宋体" w:cs="宋体"/>
                <w:sz w:val="21"/>
                <w:szCs w:val="21"/>
              </w:rPr>
              <w:t>5120(20C )</w:t>
            </w:r>
          </w:p>
        </w:tc>
        <w:tc>
          <w:tcPr>
            <w:tcW w:w="729"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个</w:t>
            </w:r>
          </w:p>
        </w:tc>
        <w:tc>
          <w:tcPr>
            <w:tcW w:w="1039" w:type="dxa"/>
            <w:vAlign w:val="center"/>
          </w:tcPr>
          <w:p>
            <w:pPr>
              <w:pStyle w:val="10"/>
              <w:autoSpaceDE w:val="0"/>
              <w:autoSpaceDN w:val="0"/>
              <w:adjustRightInd w:val="0"/>
              <w:snapToGrid w:val="0"/>
              <w:spacing w:line="560" w:lineRule="exact"/>
              <w:ind w:left="0"/>
              <w:jc w:val="lef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7"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3</w:t>
            </w:r>
          </w:p>
        </w:tc>
        <w:tc>
          <w:tcPr>
            <w:tcW w:w="3746"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I</w:t>
            </w:r>
            <w:r>
              <w:rPr>
                <w:rFonts w:ascii="宋体" w:hAnsi="宋体" w:cs="宋体"/>
                <w:sz w:val="21"/>
                <w:szCs w:val="21"/>
              </w:rPr>
              <w:t>PV6</w:t>
            </w:r>
            <w:r>
              <w:rPr>
                <w:rFonts w:hint="eastAsia" w:ascii="宋体" w:hAnsi="宋体" w:cs="宋体"/>
                <w:sz w:val="21"/>
                <w:szCs w:val="21"/>
              </w:rPr>
              <w:t>接入，IPV</w:t>
            </w:r>
            <w:r>
              <w:rPr>
                <w:rFonts w:ascii="宋体" w:hAnsi="宋体" w:cs="宋体"/>
                <w:sz w:val="21"/>
                <w:szCs w:val="21"/>
              </w:rPr>
              <w:t>6</w:t>
            </w:r>
            <w:r>
              <w:rPr>
                <w:rFonts w:hint="eastAsia" w:ascii="宋体" w:hAnsi="宋体" w:cs="宋体"/>
                <w:sz w:val="21"/>
                <w:szCs w:val="21"/>
              </w:rPr>
              <w:t>地址</w:t>
            </w:r>
          </w:p>
        </w:tc>
        <w:tc>
          <w:tcPr>
            <w:tcW w:w="1349"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ascii="宋体" w:hAnsi="宋体" w:cs="宋体"/>
                <w:sz w:val="21"/>
                <w:szCs w:val="21"/>
              </w:rPr>
              <w:t xml:space="preserve">/48 </w:t>
            </w:r>
            <w:r>
              <w:rPr>
                <w:rFonts w:hint="eastAsia" w:ascii="宋体" w:hAnsi="宋体" w:cs="宋体"/>
                <w:sz w:val="21"/>
                <w:szCs w:val="21"/>
              </w:rPr>
              <w:t>即</w:t>
            </w:r>
            <w:r>
              <w:rPr>
                <w:rFonts w:hint="eastAsia" w:ascii="宋体" w:hAnsi="宋体" w:cs="宋体"/>
                <w:sz w:val="28"/>
                <w:szCs w:val="28"/>
              </w:rPr>
              <w:t>2</w:t>
            </w:r>
            <w:r>
              <w:rPr>
                <w:rFonts w:ascii="宋体" w:hAnsi="宋体" w:cs="宋体"/>
                <w:sz w:val="28"/>
                <w:szCs w:val="28"/>
                <w:vertAlign w:val="superscript"/>
              </w:rPr>
              <w:t>80</w:t>
            </w:r>
          </w:p>
        </w:tc>
        <w:tc>
          <w:tcPr>
            <w:tcW w:w="729"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个</w:t>
            </w:r>
          </w:p>
        </w:tc>
        <w:tc>
          <w:tcPr>
            <w:tcW w:w="1039" w:type="dxa"/>
            <w:vAlign w:val="center"/>
          </w:tcPr>
          <w:p>
            <w:pPr>
              <w:pStyle w:val="10"/>
              <w:autoSpaceDE w:val="0"/>
              <w:autoSpaceDN w:val="0"/>
              <w:adjustRightInd w:val="0"/>
              <w:snapToGrid w:val="0"/>
              <w:spacing w:line="560" w:lineRule="exact"/>
              <w:ind w:left="0"/>
              <w:jc w:val="lef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4</w:t>
            </w:r>
          </w:p>
        </w:tc>
        <w:tc>
          <w:tcPr>
            <w:tcW w:w="3746"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带宽服务：教育网国内国际包月带宽</w:t>
            </w:r>
          </w:p>
        </w:tc>
        <w:tc>
          <w:tcPr>
            <w:tcW w:w="1349"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ascii="宋体" w:hAnsi="宋体" w:cs="宋体"/>
                <w:sz w:val="21"/>
                <w:szCs w:val="21"/>
              </w:rPr>
              <w:t>200</w:t>
            </w:r>
          </w:p>
        </w:tc>
        <w:tc>
          <w:tcPr>
            <w:tcW w:w="729"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M</w:t>
            </w:r>
          </w:p>
        </w:tc>
        <w:tc>
          <w:tcPr>
            <w:tcW w:w="1039" w:type="dxa"/>
            <w:vAlign w:val="center"/>
          </w:tcPr>
          <w:p>
            <w:pPr>
              <w:pStyle w:val="10"/>
              <w:autoSpaceDE w:val="0"/>
              <w:autoSpaceDN w:val="0"/>
              <w:adjustRightInd w:val="0"/>
              <w:snapToGrid w:val="0"/>
              <w:spacing w:line="560" w:lineRule="exact"/>
              <w:ind w:left="0"/>
              <w:jc w:val="lef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5</w:t>
            </w:r>
          </w:p>
        </w:tc>
        <w:tc>
          <w:tcPr>
            <w:tcW w:w="3746"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教育网专线接入</w:t>
            </w:r>
          </w:p>
        </w:tc>
        <w:tc>
          <w:tcPr>
            <w:tcW w:w="1349"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1</w:t>
            </w:r>
            <w:r>
              <w:rPr>
                <w:rFonts w:ascii="宋体" w:hAnsi="宋体" w:cs="宋体"/>
                <w:sz w:val="21"/>
                <w:szCs w:val="21"/>
              </w:rPr>
              <w:t>000</w:t>
            </w:r>
          </w:p>
        </w:tc>
        <w:tc>
          <w:tcPr>
            <w:tcW w:w="729" w:type="dxa"/>
            <w:vAlign w:val="center"/>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M</w:t>
            </w:r>
          </w:p>
        </w:tc>
        <w:tc>
          <w:tcPr>
            <w:tcW w:w="1039" w:type="dxa"/>
            <w:vAlign w:val="center"/>
          </w:tcPr>
          <w:p>
            <w:pPr>
              <w:pStyle w:val="10"/>
              <w:autoSpaceDE w:val="0"/>
              <w:autoSpaceDN w:val="0"/>
              <w:adjustRightInd w:val="0"/>
              <w:snapToGrid w:val="0"/>
              <w:spacing w:line="560" w:lineRule="exact"/>
              <w:ind w:left="0"/>
              <w:jc w:val="left"/>
              <w:rPr>
                <w:rFonts w:ascii="宋体" w:hAnsi="宋体" w:cs="宋体"/>
                <w:sz w:val="21"/>
                <w:szCs w:val="21"/>
              </w:rPr>
            </w:pPr>
          </w:p>
        </w:tc>
      </w:tr>
    </w:tbl>
    <w:p>
      <w:pPr>
        <w:widowControl/>
        <w:numPr>
          <w:ilvl w:val="0"/>
          <w:numId w:val="2"/>
        </w:numPr>
        <w:shd w:val="clear" w:color="auto" w:fill="FFFFFF"/>
        <w:adjustRightInd w:val="0"/>
        <w:snapToGrid w:val="0"/>
        <w:spacing w:line="560" w:lineRule="exact"/>
        <w:jc w:val="left"/>
        <w:outlineLvl w:val="1"/>
        <w:rPr>
          <w:rFonts w:ascii="宋体" w:hAnsi="宋体" w:cs="宋体"/>
          <w:b/>
          <w:bCs/>
          <w:color w:val="000000"/>
          <w:szCs w:val="21"/>
          <w:lang w:val="zh-CN"/>
        </w:rPr>
      </w:pPr>
      <w:r>
        <w:rPr>
          <w:rFonts w:hint="eastAsia" w:ascii="宋体" w:hAnsi="宋体" w:cs="宋体"/>
          <w:b/>
          <w:bCs/>
          <w:color w:val="000000"/>
          <w:szCs w:val="21"/>
          <w:lang w:val="zh-CN"/>
        </w:rPr>
        <w:t>技术部分要求</w:t>
      </w:r>
    </w:p>
    <w:p>
      <w:pPr>
        <w:pStyle w:val="10"/>
        <w:ind w:left="0"/>
        <w:rPr>
          <w:lang w:val="zh-CN"/>
        </w:rPr>
      </w:pP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758"/>
        <w:gridCol w:w="7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产品/服务1：域名服务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2"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序号</w:t>
            </w:r>
          </w:p>
        </w:tc>
        <w:tc>
          <w:tcPr>
            <w:tcW w:w="1758"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名称</w:t>
            </w:r>
          </w:p>
        </w:tc>
        <w:tc>
          <w:tcPr>
            <w:tcW w:w="7032"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功能、性能、配置或服务要求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1</w:t>
            </w:r>
          </w:p>
        </w:tc>
        <w:tc>
          <w:tcPr>
            <w:tcW w:w="1758"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★实质性条款</w:t>
            </w:r>
          </w:p>
        </w:tc>
        <w:tc>
          <w:tcPr>
            <w:tcW w:w="7032"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yzpc</w:t>
            </w:r>
            <w:r>
              <w:rPr>
                <w:rFonts w:ascii="宋体" w:hAnsi="宋体" w:cs="宋体"/>
                <w:sz w:val="21"/>
                <w:szCs w:val="21"/>
              </w:rPr>
              <w:t>.edu.cn 1</w:t>
            </w:r>
            <w:r>
              <w:rPr>
                <w:rFonts w:hint="eastAsia" w:ascii="宋体" w:hAnsi="宋体" w:cs="宋体"/>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2"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2</w:t>
            </w:r>
          </w:p>
        </w:tc>
        <w:tc>
          <w:tcPr>
            <w:tcW w:w="1758"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非实质性条款</w:t>
            </w:r>
          </w:p>
        </w:tc>
        <w:tc>
          <w:tcPr>
            <w:tcW w:w="7032" w:type="dxa"/>
          </w:tcPr>
          <w:p>
            <w:pPr>
              <w:pStyle w:val="10"/>
              <w:autoSpaceDE w:val="0"/>
              <w:autoSpaceDN w:val="0"/>
              <w:adjustRightInd w:val="0"/>
              <w:snapToGrid w:val="0"/>
              <w:spacing w:line="560" w:lineRule="exact"/>
              <w:ind w:left="0"/>
              <w:jc w:val="lef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产品/服务2：</w:t>
            </w:r>
            <w:r>
              <w:rPr>
                <w:rFonts w:ascii="宋体" w:hAnsi="宋体" w:cs="宋体"/>
                <w:sz w:val="21"/>
                <w:szCs w:val="21"/>
              </w:rPr>
              <w:t>IP</w:t>
            </w:r>
            <w:r>
              <w:rPr>
                <w:rFonts w:hint="eastAsia" w:ascii="宋体" w:hAnsi="宋体" w:cs="宋体"/>
                <w:sz w:val="21"/>
                <w:szCs w:val="21"/>
              </w:rPr>
              <w:t>地址服务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2"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1</w:t>
            </w:r>
          </w:p>
        </w:tc>
        <w:tc>
          <w:tcPr>
            <w:tcW w:w="1758"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★实质性条款</w:t>
            </w:r>
          </w:p>
        </w:tc>
        <w:tc>
          <w:tcPr>
            <w:tcW w:w="7032"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教育网I</w:t>
            </w:r>
            <w:r>
              <w:rPr>
                <w:rFonts w:ascii="宋体" w:hAnsi="宋体" w:cs="宋体"/>
                <w:sz w:val="21"/>
                <w:szCs w:val="21"/>
              </w:rPr>
              <w:t>PV4</w:t>
            </w:r>
            <w:r>
              <w:rPr>
                <w:rFonts w:hint="eastAsia" w:ascii="宋体" w:hAnsi="宋体" w:cs="宋体"/>
                <w:sz w:val="21"/>
                <w:szCs w:val="21"/>
              </w:rPr>
              <w:t xml:space="preserve">地址 </w:t>
            </w:r>
            <w:r>
              <w:rPr>
                <w:rFonts w:ascii="宋体" w:hAnsi="宋体" w:cs="宋体"/>
                <w:sz w:val="21"/>
                <w:szCs w:val="21"/>
              </w:rPr>
              <w:t>20</w:t>
            </w:r>
            <w:r>
              <w:rPr>
                <w:rFonts w:hint="eastAsia" w:ascii="宋体" w:hAnsi="宋体" w:cs="宋体"/>
                <w:sz w:val="21"/>
                <w:szCs w:val="21"/>
              </w:rPr>
              <w:t>C（共</w:t>
            </w:r>
            <w:r>
              <w:rPr>
                <w:rFonts w:ascii="宋体" w:hAnsi="宋体" w:cs="宋体"/>
                <w:sz w:val="21"/>
                <w:szCs w:val="21"/>
              </w:rPr>
              <w:t>5120</w:t>
            </w:r>
            <w:r>
              <w:rPr>
                <w:rFonts w:hint="eastAsia" w:ascii="宋体" w:hAnsi="宋体" w:cs="宋体"/>
                <w:sz w:val="21"/>
                <w:szCs w:val="21"/>
              </w:rPr>
              <w:t xml:space="preserve">个）,教育网IPV6地址 </w:t>
            </w:r>
            <w:r>
              <w:rPr>
                <w:rFonts w:ascii="宋体" w:hAnsi="宋体" w:cs="宋体"/>
                <w:sz w:val="21"/>
                <w:szCs w:val="21"/>
              </w:rPr>
              <w:t>/48(</w:t>
            </w:r>
            <w:r>
              <w:rPr>
                <w:rFonts w:hint="eastAsia" w:ascii="宋体" w:hAnsi="宋体" w:cs="宋体"/>
                <w:sz w:val="21"/>
                <w:szCs w:val="21"/>
              </w:rPr>
              <w:t>共</w:t>
            </w:r>
            <w:r>
              <w:rPr>
                <w:rFonts w:hint="eastAsia" w:ascii="宋体" w:hAnsi="宋体" w:cs="宋体"/>
                <w:sz w:val="28"/>
                <w:szCs w:val="28"/>
              </w:rPr>
              <w:t>2</w:t>
            </w:r>
            <w:r>
              <w:rPr>
                <w:rFonts w:ascii="宋体" w:hAnsi="宋体" w:cs="宋体"/>
                <w:sz w:val="28"/>
                <w:szCs w:val="28"/>
                <w:vertAlign w:val="superscript"/>
              </w:rPr>
              <w:t>80</w:t>
            </w:r>
            <w:r>
              <w:rPr>
                <w:rFonts w:ascii="宋体" w:hAnsi="宋体" w:cs="宋体"/>
                <w:sz w:val="21"/>
                <w:szCs w:val="21"/>
              </w:rPr>
              <w:t>)</w:t>
            </w:r>
            <w:r>
              <w:rPr>
                <w:rFonts w:hint="eastAsia" w:ascii="宋体" w:hAnsi="宋体" w:cs="宋体"/>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2</w:t>
            </w:r>
          </w:p>
        </w:tc>
        <w:tc>
          <w:tcPr>
            <w:tcW w:w="1758"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非实质性条款</w:t>
            </w:r>
          </w:p>
        </w:tc>
        <w:tc>
          <w:tcPr>
            <w:tcW w:w="7032" w:type="dxa"/>
          </w:tcPr>
          <w:p>
            <w:pPr>
              <w:pStyle w:val="10"/>
              <w:autoSpaceDE w:val="0"/>
              <w:autoSpaceDN w:val="0"/>
              <w:adjustRightInd w:val="0"/>
              <w:snapToGrid w:val="0"/>
              <w:spacing w:line="560" w:lineRule="exact"/>
              <w:ind w:left="0"/>
              <w:jc w:val="lef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3"/>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产品/服务3：带宽服务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1</w:t>
            </w:r>
          </w:p>
        </w:tc>
        <w:tc>
          <w:tcPr>
            <w:tcW w:w="1758"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★实质性条款</w:t>
            </w:r>
          </w:p>
        </w:tc>
        <w:tc>
          <w:tcPr>
            <w:tcW w:w="7032"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教育网国内国际包月带宽</w:t>
            </w:r>
            <w:r>
              <w:rPr>
                <w:rFonts w:ascii="宋体" w:hAnsi="宋体" w:cs="宋体"/>
                <w:sz w:val="21"/>
                <w:szCs w:val="21"/>
              </w:rPr>
              <w:t>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2"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2</w:t>
            </w:r>
          </w:p>
        </w:tc>
        <w:tc>
          <w:tcPr>
            <w:tcW w:w="1758" w:type="dxa"/>
          </w:tcPr>
          <w:p>
            <w:pPr>
              <w:pStyle w:val="10"/>
              <w:autoSpaceDE w:val="0"/>
              <w:autoSpaceDN w:val="0"/>
              <w:adjustRightInd w:val="0"/>
              <w:snapToGrid w:val="0"/>
              <w:spacing w:line="560" w:lineRule="exact"/>
              <w:ind w:left="0"/>
              <w:jc w:val="left"/>
              <w:rPr>
                <w:rFonts w:ascii="宋体" w:hAnsi="宋体" w:cs="宋体"/>
                <w:sz w:val="21"/>
                <w:szCs w:val="21"/>
              </w:rPr>
            </w:pPr>
            <w:r>
              <w:rPr>
                <w:rFonts w:hint="eastAsia" w:ascii="宋体" w:hAnsi="宋体" w:cs="宋体"/>
                <w:sz w:val="21"/>
                <w:szCs w:val="21"/>
              </w:rPr>
              <w:t>非实质性条款</w:t>
            </w:r>
          </w:p>
        </w:tc>
        <w:tc>
          <w:tcPr>
            <w:tcW w:w="7032" w:type="dxa"/>
          </w:tcPr>
          <w:p>
            <w:pPr>
              <w:pStyle w:val="10"/>
              <w:autoSpaceDE w:val="0"/>
              <w:autoSpaceDN w:val="0"/>
              <w:adjustRightInd w:val="0"/>
              <w:snapToGrid w:val="0"/>
              <w:spacing w:line="560" w:lineRule="exact"/>
              <w:ind w:left="0"/>
              <w:jc w:val="left"/>
              <w:rPr>
                <w:rFonts w:ascii="宋体" w:hAnsi="宋体" w:cs="宋体"/>
                <w:sz w:val="21"/>
                <w:szCs w:val="21"/>
              </w:rPr>
            </w:pPr>
          </w:p>
        </w:tc>
      </w:tr>
    </w:tbl>
    <w:p>
      <w:pPr>
        <w:widowControl/>
        <w:shd w:val="clear" w:color="auto" w:fill="FFFFFF"/>
        <w:adjustRightInd w:val="0"/>
        <w:snapToGrid w:val="0"/>
        <w:spacing w:line="560" w:lineRule="exact"/>
        <w:jc w:val="left"/>
        <w:outlineLvl w:val="1"/>
        <w:rPr>
          <w:rFonts w:ascii="宋体" w:hAnsi="宋体" w:cs="宋体"/>
          <w:b/>
          <w:bCs/>
          <w:color w:val="000000"/>
          <w:szCs w:val="21"/>
        </w:rPr>
      </w:pPr>
      <w:r>
        <w:rPr>
          <w:rFonts w:hint="eastAsia" w:ascii="宋体" w:hAnsi="宋体" w:cs="宋体"/>
          <w:b/>
          <w:bCs/>
          <w:color w:val="000000"/>
          <w:szCs w:val="21"/>
          <w:lang w:val="zh-CN"/>
        </w:rPr>
        <w:t>四、商务部分要求</w:t>
      </w:r>
    </w:p>
    <w:p>
      <w:pPr>
        <w:pStyle w:val="2"/>
        <w:autoSpaceDE w:val="0"/>
        <w:autoSpaceDN w:val="0"/>
        <w:adjustRightInd w:val="0"/>
        <w:snapToGrid w:val="0"/>
        <w:spacing w:line="560" w:lineRule="exact"/>
        <w:jc w:val="left"/>
        <w:rPr>
          <w:rFonts w:ascii="宋体" w:hAnsi="宋体" w:cs="宋体"/>
          <w:color w:val="000000"/>
          <w:szCs w:val="21"/>
        </w:rPr>
      </w:pPr>
      <w:r>
        <w:rPr>
          <w:rFonts w:hint="eastAsia" w:ascii="宋体" w:hAnsi="宋体" w:cs="宋体"/>
          <w:b/>
          <w:szCs w:val="21"/>
        </w:rPr>
        <w:t>1、交付时间</w:t>
      </w:r>
      <w:r>
        <w:rPr>
          <w:rFonts w:hint="eastAsia" w:ascii="宋体" w:hAnsi="宋体" w:cs="宋体"/>
          <w:color w:val="000000"/>
          <w:szCs w:val="21"/>
        </w:rPr>
        <w:t>：要求本项目自合同正式签署生效起</w:t>
      </w:r>
      <w:r>
        <w:rPr>
          <w:rFonts w:hint="eastAsia" w:ascii="宋体" w:hAnsi="宋体" w:cs="宋体"/>
          <w:color w:val="000000"/>
          <w:szCs w:val="21"/>
          <w:u w:val="single"/>
        </w:rPr>
        <w:t xml:space="preserve">   </w:t>
      </w:r>
      <w:r>
        <w:rPr>
          <w:rFonts w:ascii="宋体" w:hAnsi="宋体" w:cs="宋体"/>
          <w:color w:val="000000"/>
          <w:szCs w:val="21"/>
          <w:u w:val="single"/>
        </w:rPr>
        <w:t>7</w:t>
      </w:r>
      <w:r>
        <w:rPr>
          <w:rFonts w:hint="eastAsia" w:ascii="宋体" w:hAnsi="宋体" w:cs="宋体"/>
          <w:color w:val="000000"/>
          <w:szCs w:val="21"/>
          <w:u w:val="single"/>
        </w:rPr>
        <w:t xml:space="preserve">  </w:t>
      </w:r>
      <w:r>
        <w:rPr>
          <w:rFonts w:hint="eastAsia" w:ascii="宋体" w:hAnsi="宋体" w:cs="宋体"/>
          <w:color w:val="000000"/>
          <w:szCs w:val="21"/>
        </w:rPr>
        <w:t>个自然日内完成。</w:t>
      </w:r>
    </w:p>
    <w:p>
      <w:pPr>
        <w:pStyle w:val="2"/>
        <w:autoSpaceDE w:val="0"/>
        <w:autoSpaceDN w:val="0"/>
        <w:adjustRightInd w:val="0"/>
        <w:snapToGrid w:val="0"/>
        <w:spacing w:line="560" w:lineRule="exact"/>
        <w:jc w:val="left"/>
        <w:rPr>
          <w:rFonts w:ascii="宋体" w:hAnsi="宋体" w:cs="宋体"/>
          <w:color w:val="000000"/>
          <w:szCs w:val="21"/>
        </w:rPr>
      </w:pPr>
      <w:r>
        <w:rPr>
          <w:rFonts w:hint="eastAsia" w:ascii="宋体" w:hAnsi="宋体" w:cs="宋体"/>
          <w:b/>
          <w:szCs w:val="21"/>
        </w:rPr>
        <w:t>2、服务</w:t>
      </w:r>
      <w:r>
        <w:rPr>
          <w:rFonts w:hint="eastAsia" w:ascii="宋体" w:hAnsi="宋体" w:cs="宋体"/>
          <w:b/>
          <w:bCs/>
          <w:color w:val="000000"/>
          <w:szCs w:val="21"/>
        </w:rPr>
        <w:t>期</w:t>
      </w:r>
      <w:r>
        <w:rPr>
          <w:rFonts w:hint="eastAsia" w:ascii="宋体" w:hAnsi="宋体" w:cs="宋体"/>
          <w:szCs w:val="21"/>
        </w:rPr>
        <w:t>：</w:t>
      </w:r>
      <w:r>
        <w:rPr>
          <w:rFonts w:ascii="宋体" w:hAnsi="宋体" w:cs="宋体"/>
          <w:color w:val="000000"/>
          <w:szCs w:val="21"/>
        </w:rPr>
        <w:t>3</w:t>
      </w:r>
      <w:r>
        <w:rPr>
          <w:rFonts w:hint="eastAsia" w:ascii="宋体" w:hAnsi="宋体" w:cs="宋体"/>
          <w:color w:val="000000"/>
          <w:szCs w:val="21"/>
        </w:rPr>
        <w:t>年</w:t>
      </w:r>
    </w:p>
    <w:p>
      <w:pPr>
        <w:pStyle w:val="2"/>
        <w:autoSpaceDE w:val="0"/>
        <w:autoSpaceDN w:val="0"/>
        <w:adjustRightInd w:val="0"/>
        <w:snapToGrid w:val="0"/>
        <w:spacing w:line="560" w:lineRule="exact"/>
        <w:jc w:val="left"/>
        <w:rPr>
          <w:rFonts w:ascii="宋体" w:hAnsi="宋体" w:cs="宋体"/>
          <w:b/>
          <w:szCs w:val="21"/>
        </w:rPr>
      </w:pPr>
      <w:r>
        <w:rPr>
          <w:rFonts w:hint="eastAsia" w:ascii="宋体" w:hAnsi="宋体" w:cs="宋体"/>
          <w:b/>
          <w:szCs w:val="21"/>
        </w:rPr>
        <w:t>3、供应商资格条件，请提供如下材料：</w:t>
      </w:r>
    </w:p>
    <w:p>
      <w:pPr>
        <w:pStyle w:val="2"/>
        <w:autoSpaceDE w:val="0"/>
        <w:autoSpaceDN w:val="0"/>
        <w:adjustRightInd w:val="0"/>
        <w:snapToGrid w:val="0"/>
        <w:spacing w:line="560" w:lineRule="exact"/>
        <w:jc w:val="left"/>
        <w:rPr>
          <w:rFonts w:ascii="宋体" w:hAnsi="宋体" w:cs="宋体"/>
          <w:szCs w:val="21"/>
        </w:rPr>
      </w:pPr>
      <w:r>
        <w:rPr>
          <w:rFonts w:hint="eastAsia" w:ascii="宋体" w:hAnsi="宋体" w:cs="宋体"/>
          <w:szCs w:val="21"/>
        </w:rPr>
        <w:t>（1）企业法人营业执照（复印件加盖单位公章）；</w:t>
      </w:r>
    </w:p>
    <w:p>
      <w:pPr>
        <w:pStyle w:val="2"/>
        <w:autoSpaceDE w:val="0"/>
        <w:autoSpaceDN w:val="0"/>
        <w:adjustRightInd w:val="0"/>
        <w:snapToGrid w:val="0"/>
        <w:spacing w:line="560" w:lineRule="exact"/>
        <w:jc w:val="left"/>
        <w:rPr>
          <w:rFonts w:ascii="宋体" w:hAnsi="宋体" w:cs="宋体"/>
          <w:szCs w:val="21"/>
        </w:rPr>
      </w:pPr>
      <w:r>
        <w:rPr>
          <w:rFonts w:hint="eastAsia" w:ascii="宋体" w:hAnsi="宋体" w:cs="宋体"/>
          <w:szCs w:val="21"/>
        </w:rPr>
        <w:t>（2）法定代表人证明文件（附法定代表人身份证复印件，加盖单位公章）；</w:t>
      </w:r>
    </w:p>
    <w:p>
      <w:pPr>
        <w:pStyle w:val="2"/>
        <w:autoSpaceDE w:val="0"/>
        <w:autoSpaceDN w:val="0"/>
        <w:adjustRightInd w:val="0"/>
        <w:snapToGrid w:val="0"/>
        <w:spacing w:line="560" w:lineRule="exact"/>
        <w:jc w:val="left"/>
        <w:rPr>
          <w:rFonts w:ascii="宋体" w:hAnsi="宋体" w:cs="宋体"/>
          <w:szCs w:val="21"/>
        </w:rPr>
      </w:pPr>
      <w:r>
        <w:rPr>
          <w:rFonts w:hint="eastAsia" w:ascii="宋体" w:hAnsi="宋体" w:cs="宋体"/>
          <w:szCs w:val="21"/>
        </w:rPr>
        <w:t>（3）法定代表人授权委托书原件（仅当非法定代表人参加谈判时提供，附授权代表身份证复印件，加盖单位公章）；</w:t>
      </w:r>
    </w:p>
    <w:p>
      <w:pPr>
        <w:pStyle w:val="2"/>
        <w:autoSpaceDE w:val="0"/>
        <w:autoSpaceDN w:val="0"/>
        <w:adjustRightInd w:val="0"/>
        <w:snapToGrid w:val="0"/>
        <w:spacing w:line="560" w:lineRule="exact"/>
        <w:jc w:val="left"/>
        <w:rPr>
          <w:rFonts w:ascii="宋体" w:hAnsi="宋体" w:cs="宋体"/>
          <w:szCs w:val="21"/>
        </w:rPr>
      </w:pPr>
      <w:r>
        <w:rPr>
          <w:rFonts w:hint="eastAsia" w:ascii="宋体" w:hAnsi="宋体" w:cs="宋体"/>
          <w:szCs w:val="21"/>
        </w:rPr>
        <w:t>（4）资质证明材料</w:t>
      </w:r>
    </w:p>
    <w:p>
      <w:pPr>
        <w:pStyle w:val="2"/>
        <w:autoSpaceDE w:val="0"/>
        <w:autoSpaceDN w:val="0"/>
        <w:adjustRightInd w:val="0"/>
        <w:snapToGrid w:val="0"/>
        <w:spacing w:line="560" w:lineRule="exact"/>
        <w:jc w:val="left"/>
        <w:rPr>
          <w:rFonts w:ascii="宋体" w:hAnsi="宋体" w:cs="宋体"/>
          <w:szCs w:val="21"/>
        </w:rPr>
      </w:pPr>
      <w:r>
        <w:rPr>
          <w:rFonts w:hint="eastAsia" w:ascii="宋体" w:hAnsi="宋体" w:cs="宋体"/>
          <w:szCs w:val="21"/>
        </w:rPr>
        <w:t>（5）报价函</w:t>
      </w:r>
    </w:p>
    <w:p>
      <w:pPr>
        <w:pStyle w:val="2"/>
        <w:autoSpaceDE w:val="0"/>
        <w:autoSpaceDN w:val="0"/>
        <w:adjustRightInd w:val="0"/>
        <w:snapToGrid w:val="0"/>
        <w:spacing w:line="560" w:lineRule="exact"/>
        <w:jc w:val="left"/>
        <w:rPr>
          <w:rFonts w:ascii="宋体" w:hAnsi="宋体" w:cs="宋体"/>
          <w:szCs w:val="21"/>
        </w:rPr>
      </w:pPr>
      <w:r>
        <w:rPr>
          <w:rFonts w:hint="eastAsia" w:ascii="宋体" w:hAnsi="宋体" w:cs="宋体"/>
          <w:szCs w:val="21"/>
        </w:rPr>
        <w:t>（6）项目联系人、联系方式</w:t>
      </w:r>
    </w:p>
    <w:p>
      <w:pPr>
        <w:pStyle w:val="2"/>
        <w:autoSpaceDE w:val="0"/>
        <w:autoSpaceDN w:val="0"/>
        <w:adjustRightInd w:val="0"/>
        <w:snapToGrid w:val="0"/>
        <w:spacing w:line="560" w:lineRule="exact"/>
        <w:jc w:val="left"/>
        <w:rPr>
          <w:rFonts w:ascii="宋体" w:hAnsi="宋体" w:cs="宋体"/>
          <w:szCs w:val="21"/>
        </w:rPr>
      </w:pPr>
      <w:r>
        <w:rPr>
          <w:rFonts w:hint="eastAsia" w:ascii="宋体" w:hAnsi="宋体" w:cs="宋体"/>
          <w:szCs w:val="21"/>
        </w:rPr>
        <w:t>（7）相关服务承诺</w:t>
      </w:r>
    </w:p>
    <w:p>
      <w:pPr>
        <w:pStyle w:val="2"/>
        <w:autoSpaceDE w:val="0"/>
        <w:autoSpaceDN w:val="0"/>
        <w:adjustRightInd w:val="0"/>
        <w:snapToGrid w:val="0"/>
        <w:spacing w:line="560" w:lineRule="exact"/>
        <w:jc w:val="left"/>
        <w:rPr>
          <w:rFonts w:ascii="宋体" w:hAnsi="宋体" w:cs="宋体"/>
          <w:b/>
          <w:szCs w:val="21"/>
        </w:rPr>
      </w:pPr>
      <w:r>
        <w:rPr>
          <w:rFonts w:ascii="宋体" w:hAnsi="宋体" w:cs="宋体"/>
          <w:b/>
          <w:szCs w:val="21"/>
        </w:rPr>
        <w:t>4</w:t>
      </w:r>
      <w:r>
        <w:rPr>
          <w:rFonts w:hint="eastAsia" w:ascii="宋体" w:hAnsi="宋体" w:cs="宋体"/>
          <w:b/>
          <w:szCs w:val="21"/>
        </w:rPr>
        <w:t>、售后服务要求</w:t>
      </w:r>
    </w:p>
    <w:p>
      <w:pPr>
        <w:pStyle w:val="2"/>
        <w:autoSpaceDE w:val="0"/>
        <w:autoSpaceDN w:val="0"/>
        <w:adjustRightInd w:val="0"/>
        <w:snapToGrid w:val="0"/>
        <w:spacing w:line="560" w:lineRule="exact"/>
        <w:jc w:val="left"/>
        <w:rPr>
          <w:rFonts w:ascii="宋体" w:hAnsi="宋体" w:cs="宋体"/>
          <w:szCs w:val="21"/>
        </w:rPr>
      </w:pPr>
      <w:r>
        <w:rPr>
          <w:rFonts w:hint="eastAsia" w:ascii="宋体" w:hAnsi="宋体" w:cs="宋体"/>
          <w:b/>
          <w:szCs w:val="21"/>
        </w:rPr>
        <w:t>（1）</w:t>
      </w:r>
      <w:r>
        <w:rPr>
          <w:rFonts w:hint="eastAsia" w:ascii="宋体" w:hAnsi="宋体" w:cs="宋体"/>
          <w:b/>
          <w:bCs/>
          <w:color w:val="000000"/>
          <w:szCs w:val="21"/>
        </w:rPr>
        <w:t>服务期</w:t>
      </w:r>
      <w:r>
        <w:rPr>
          <w:rFonts w:hint="eastAsia" w:ascii="宋体" w:hAnsi="宋体" w:cs="宋体"/>
          <w:szCs w:val="21"/>
        </w:rPr>
        <w:t>内，本合同项目所有技术和服务发生任何非人为故障，由供应商负责系统恢复。故障报修的响应时间为即时，到达现场的时间为2小时，小型故障恢复时间为4个小时，严重故障恢复时间为24小时内，并及时有效的提供解决方案。</w:t>
      </w:r>
    </w:p>
    <w:p>
      <w:pPr>
        <w:pStyle w:val="2"/>
        <w:autoSpaceDE w:val="0"/>
        <w:autoSpaceDN w:val="0"/>
        <w:adjustRightInd w:val="0"/>
        <w:snapToGrid w:val="0"/>
        <w:spacing w:line="560" w:lineRule="exact"/>
        <w:jc w:val="left"/>
        <w:rPr>
          <w:rFonts w:ascii="宋体" w:hAnsi="宋体" w:cs="宋体"/>
          <w:szCs w:val="21"/>
        </w:rPr>
      </w:pPr>
      <w:r>
        <w:rPr>
          <w:rFonts w:hint="eastAsia" w:ascii="宋体" w:hAnsi="宋体" w:cs="宋体"/>
          <w:szCs w:val="21"/>
        </w:rPr>
        <w:t>（2）</w:t>
      </w:r>
      <w:r>
        <w:rPr>
          <w:rFonts w:hint="eastAsia" w:ascii="宋体" w:hAnsi="宋体" w:cs="宋体"/>
          <w:b/>
          <w:bCs/>
          <w:color w:val="000000"/>
          <w:szCs w:val="21"/>
        </w:rPr>
        <w:t>服务期</w:t>
      </w:r>
      <w:r>
        <w:rPr>
          <w:rFonts w:hint="eastAsia" w:ascii="宋体" w:hAnsi="宋体" w:cs="宋体"/>
          <w:szCs w:val="21"/>
        </w:rPr>
        <w:t>内，对采购人提出的合理服务要求，供应商必须即时进行电话、邮件及远程网络支持，并在2小时内到场服务。如不到场，采购人有权自行处理，相关费用由供应商负责。</w:t>
      </w:r>
    </w:p>
    <w:p>
      <w:pPr>
        <w:pStyle w:val="2"/>
        <w:autoSpaceDE w:val="0"/>
        <w:autoSpaceDN w:val="0"/>
        <w:adjustRightInd w:val="0"/>
        <w:snapToGrid w:val="0"/>
        <w:spacing w:line="560" w:lineRule="exact"/>
        <w:jc w:val="left"/>
        <w:rPr>
          <w:rFonts w:ascii="宋体" w:hAnsi="宋体" w:cs="宋体"/>
          <w:szCs w:val="21"/>
        </w:rPr>
      </w:pPr>
      <w:r>
        <w:rPr>
          <w:rFonts w:hint="eastAsia" w:ascii="宋体" w:hAnsi="宋体" w:cs="宋体"/>
          <w:szCs w:val="21"/>
        </w:rPr>
        <w:t>（3）供应商需提供定期回访服务，对采购人提出的合理优化建议应提供免费升级服务。</w:t>
      </w:r>
    </w:p>
    <w:p>
      <w:pPr>
        <w:pStyle w:val="2"/>
        <w:autoSpaceDE w:val="0"/>
        <w:autoSpaceDN w:val="0"/>
        <w:adjustRightInd w:val="0"/>
        <w:snapToGrid w:val="0"/>
        <w:spacing w:line="560" w:lineRule="exact"/>
        <w:jc w:val="left"/>
        <w:rPr>
          <w:rFonts w:ascii="宋体" w:hAnsi="宋体" w:cs="宋体"/>
          <w:szCs w:val="21"/>
        </w:rPr>
      </w:pPr>
      <w:r>
        <w:rPr>
          <w:rFonts w:hint="eastAsia" w:ascii="宋体" w:hAnsi="宋体" w:cs="宋体"/>
          <w:szCs w:val="21"/>
        </w:rPr>
        <w:t>（4）所有的服务方式均为供应商上门保修，即由供应商派员到系统使用现场进行故障恢复，由此产生的一切费用均由供应商承担。</w:t>
      </w:r>
    </w:p>
    <w:p>
      <w:pPr>
        <w:widowControl/>
        <w:shd w:val="clear" w:color="auto" w:fill="FFFFFF"/>
        <w:adjustRightInd w:val="0"/>
        <w:snapToGrid w:val="0"/>
        <w:spacing w:line="560" w:lineRule="exact"/>
        <w:jc w:val="left"/>
        <w:rPr>
          <w:rFonts w:ascii="宋体" w:hAnsi="宋体" w:cs="宋体"/>
          <w:b/>
          <w:bCs/>
          <w:color w:val="000000"/>
          <w:szCs w:val="21"/>
          <w:lang w:val="zh-CN"/>
        </w:rPr>
      </w:pPr>
      <w:r>
        <w:rPr>
          <w:rFonts w:hint="eastAsia" w:ascii="宋体" w:hAnsi="宋体" w:cs="宋体"/>
          <w:b/>
          <w:bCs/>
          <w:color w:val="000000"/>
          <w:szCs w:val="21"/>
          <w:lang w:val="zh-CN"/>
        </w:rPr>
        <w:t>5、服务保障和自罚承诺</w:t>
      </w:r>
    </w:p>
    <w:p>
      <w:pPr>
        <w:widowControl/>
        <w:shd w:val="clear" w:color="auto" w:fill="FFFFFF"/>
        <w:adjustRightInd w:val="0"/>
        <w:snapToGrid w:val="0"/>
        <w:spacing w:line="560" w:lineRule="exact"/>
        <w:jc w:val="left"/>
        <w:rPr>
          <w:rFonts w:ascii="宋体" w:hAnsi="宋体" w:cs="宋体"/>
          <w:color w:val="000000"/>
          <w:szCs w:val="21"/>
          <w:lang w:val="zh-CN"/>
        </w:rPr>
      </w:pPr>
      <w:r>
        <w:rPr>
          <w:rFonts w:hint="eastAsia" w:ascii="宋体" w:hAnsi="宋体" w:cs="宋体"/>
          <w:color w:val="000000"/>
          <w:szCs w:val="21"/>
          <w:lang w:val="zh-CN"/>
        </w:rPr>
        <w:t>（</w:t>
      </w:r>
      <w:r>
        <w:rPr>
          <w:rFonts w:hint="eastAsia" w:ascii="宋体" w:hAnsi="宋体" w:cs="宋体"/>
          <w:color w:val="000000"/>
          <w:szCs w:val="21"/>
        </w:rPr>
        <w:t>1</w:t>
      </w:r>
      <w:r>
        <w:rPr>
          <w:rFonts w:hint="eastAsia" w:ascii="宋体" w:hAnsi="宋体" w:cs="宋体"/>
          <w:color w:val="000000"/>
          <w:szCs w:val="21"/>
          <w:lang w:val="zh-CN"/>
        </w:rPr>
        <w:t>）供应商应对照</w:t>
      </w:r>
      <w:r>
        <w:rPr>
          <w:rFonts w:hint="eastAsia" w:ascii="宋体" w:hAnsi="宋体" w:cs="宋体"/>
          <w:color w:val="000000"/>
          <w:szCs w:val="21"/>
        </w:rPr>
        <w:t>商谈</w:t>
      </w:r>
      <w:r>
        <w:rPr>
          <w:rFonts w:hint="eastAsia" w:ascii="宋体" w:hAnsi="宋体" w:cs="宋体"/>
          <w:color w:val="000000"/>
          <w:szCs w:val="21"/>
          <w:lang w:val="zh-CN"/>
        </w:rPr>
        <w:t>文件要求，书面说明已对采购人的需求做出了实质性的响应，或申明与需求的偏差和例外。</w:t>
      </w:r>
    </w:p>
    <w:p>
      <w:pPr>
        <w:widowControl/>
        <w:shd w:val="clear" w:color="auto" w:fill="FFFFFF"/>
        <w:adjustRightInd w:val="0"/>
        <w:snapToGrid w:val="0"/>
        <w:spacing w:line="560" w:lineRule="exact"/>
        <w:jc w:val="left"/>
        <w:rPr>
          <w:rFonts w:ascii="宋体" w:hAnsi="宋体" w:cs="宋体"/>
          <w:color w:val="000000"/>
          <w:szCs w:val="21"/>
          <w:lang w:val="zh-CN"/>
        </w:rPr>
      </w:pPr>
      <w:r>
        <w:rPr>
          <w:rFonts w:hint="eastAsia" w:ascii="宋体" w:hAnsi="宋体" w:cs="宋体"/>
          <w:color w:val="000000"/>
          <w:szCs w:val="21"/>
          <w:lang w:val="zh-CN"/>
        </w:rPr>
        <w:t>（</w:t>
      </w:r>
      <w:r>
        <w:rPr>
          <w:rFonts w:hint="eastAsia" w:ascii="宋体" w:hAnsi="宋体" w:cs="宋体"/>
          <w:color w:val="000000"/>
          <w:szCs w:val="21"/>
        </w:rPr>
        <w:t>2</w:t>
      </w:r>
      <w:r>
        <w:rPr>
          <w:rFonts w:hint="eastAsia" w:ascii="宋体" w:hAnsi="宋体" w:cs="宋体"/>
          <w:color w:val="000000"/>
          <w:szCs w:val="21"/>
          <w:lang w:val="zh-CN"/>
        </w:rPr>
        <w:t>）如果发生因供应商安全措施不力造成的事故责任、或者其他工作失误，由此所产生的一切责任由供应商承担。（</w:t>
      </w:r>
      <w:r>
        <w:rPr>
          <w:rFonts w:hint="eastAsia" w:ascii="宋体" w:hAnsi="宋体" w:cs="宋体"/>
          <w:color w:val="000000"/>
          <w:szCs w:val="21"/>
        </w:rPr>
        <w:t>3</w:t>
      </w:r>
      <w:r>
        <w:rPr>
          <w:rFonts w:hint="eastAsia" w:ascii="宋体" w:hAnsi="宋体" w:cs="宋体"/>
          <w:color w:val="000000"/>
          <w:szCs w:val="21"/>
          <w:lang w:val="zh-CN"/>
        </w:rPr>
        <w:t>）如因供应商投入人员过少原因，造成无法在承诺工期内完成服务，由此产生的一切责任由供应商承担。</w:t>
      </w:r>
    </w:p>
    <w:p>
      <w:pPr>
        <w:widowControl/>
        <w:shd w:val="clear" w:color="auto" w:fill="FFFFFF"/>
        <w:adjustRightInd w:val="0"/>
        <w:snapToGrid w:val="0"/>
        <w:spacing w:line="560" w:lineRule="exact"/>
        <w:jc w:val="left"/>
        <w:rPr>
          <w:rFonts w:ascii="宋体" w:hAnsi="宋体" w:cs="宋体"/>
          <w:b/>
          <w:bCs/>
          <w:color w:val="000000"/>
          <w:szCs w:val="21"/>
          <w:lang w:val="zh-CN"/>
        </w:rPr>
      </w:pPr>
      <w:r>
        <w:rPr>
          <w:rFonts w:hint="eastAsia" w:ascii="宋体" w:hAnsi="宋体" w:cs="宋体"/>
          <w:b/>
          <w:bCs/>
          <w:color w:val="000000"/>
          <w:szCs w:val="21"/>
          <w:lang w:val="zh-CN"/>
        </w:rPr>
        <w:t>6、报价说明：</w:t>
      </w:r>
    </w:p>
    <w:p>
      <w:pPr>
        <w:widowControl/>
        <w:shd w:val="clear" w:color="auto" w:fill="FFFFFF"/>
        <w:autoSpaceDE w:val="0"/>
        <w:autoSpaceDN w:val="0"/>
        <w:adjustRightInd w:val="0"/>
        <w:snapToGrid w:val="0"/>
        <w:spacing w:line="560" w:lineRule="exact"/>
        <w:jc w:val="left"/>
        <w:rPr>
          <w:rFonts w:ascii="宋体" w:hAnsi="宋体" w:cs="宋体"/>
          <w:color w:val="000000"/>
          <w:szCs w:val="21"/>
          <w:lang w:val="ja-JP" w:eastAsia="ja-JP" w:bidi="ja-JP"/>
        </w:rPr>
      </w:pPr>
      <w:r>
        <w:rPr>
          <w:rFonts w:hint="eastAsia" w:ascii="宋体" w:hAnsi="宋体" w:cs="宋体"/>
          <w:color w:val="000000"/>
          <w:szCs w:val="21"/>
          <w:lang w:val="ja-JP" w:bidi="ja-JP"/>
        </w:rPr>
        <w:t>（</w:t>
      </w:r>
      <w:r>
        <w:rPr>
          <w:rFonts w:hint="eastAsia" w:ascii="宋体" w:hAnsi="宋体" w:cs="宋体"/>
          <w:color w:val="000000"/>
          <w:szCs w:val="21"/>
          <w:lang w:bidi="ja-JP"/>
        </w:rPr>
        <w:t>1</w:t>
      </w:r>
      <w:r>
        <w:rPr>
          <w:rFonts w:hint="eastAsia" w:ascii="宋体" w:hAnsi="宋体" w:cs="宋体"/>
          <w:color w:val="000000"/>
          <w:szCs w:val="21"/>
          <w:lang w:val="ja-JP" w:bidi="ja-JP"/>
        </w:rPr>
        <w:t>）</w:t>
      </w:r>
      <w:r>
        <w:rPr>
          <w:rFonts w:hint="eastAsia" w:ascii="宋体" w:hAnsi="宋体" w:cs="宋体"/>
          <w:szCs w:val="21"/>
          <w:lang w:val="ja-JP" w:eastAsia="ja-JP" w:bidi="ja-JP"/>
        </w:rPr>
        <w:t>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r>
        <w:rPr>
          <w:rFonts w:hint="eastAsia" w:ascii="宋体" w:hAnsi="宋体" w:cs="宋体"/>
          <w:color w:val="000000"/>
          <w:szCs w:val="21"/>
          <w:lang w:val="ja-JP" w:eastAsia="ja-JP" w:bidi="ja-JP"/>
        </w:rPr>
        <w:t>。</w:t>
      </w:r>
    </w:p>
    <w:p>
      <w:pPr>
        <w:widowControl/>
        <w:shd w:val="clear" w:color="auto" w:fill="FFFFFF"/>
        <w:autoSpaceDE w:val="0"/>
        <w:autoSpaceDN w:val="0"/>
        <w:adjustRightInd w:val="0"/>
        <w:snapToGrid w:val="0"/>
        <w:spacing w:line="560" w:lineRule="exact"/>
        <w:jc w:val="left"/>
        <w:rPr>
          <w:rFonts w:ascii="宋体" w:hAnsi="宋体" w:cs="宋体"/>
          <w:color w:val="000000"/>
          <w:szCs w:val="21"/>
          <w:lang w:val="ja-JP" w:eastAsia="ja-JP" w:bidi="ja-JP"/>
        </w:rPr>
      </w:pPr>
      <w:r>
        <w:rPr>
          <w:rFonts w:hint="eastAsia" w:ascii="宋体" w:hAnsi="宋体" w:cs="宋体"/>
          <w:color w:val="000000"/>
          <w:szCs w:val="21"/>
          <w:lang w:val="ja-JP" w:bidi="ja-JP"/>
        </w:rPr>
        <w:t>（</w:t>
      </w:r>
      <w:r>
        <w:rPr>
          <w:rFonts w:hint="eastAsia" w:ascii="宋体" w:hAnsi="宋体" w:cs="宋体"/>
          <w:color w:val="000000"/>
          <w:szCs w:val="21"/>
          <w:lang w:bidi="ja-JP"/>
        </w:rPr>
        <w:t>2</w:t>
      </w:r>
      <w:r>
        <w:rPr>
          <w:rFonts w:hint="eastAsia" w:ascii="宋体" w:hAnsi="宋体" w:cs="宋体"/>
          <w:color w:val="000000"/>
          <w:szCs w:val="21"/>
          <w:lang w:val="ja-JP" w:bidi="ja-JP"/>
        </w:rPr>
        <w:t>）</w:t>
      </w:r>
      <w:r>
        <w:rPr>
          <w:rFonts w:hint="eastAsia" w:ascii="宋体" w:hAnsi="宋体" w:cs="宋体"/>
          <w:color w:val="000000"/>
          <w:szCs w:val="21"/>
          <w:lang w:val="ja-JP" w:eastAsia="ja-JP" w:bidi="ja-JP"/>
        </w:rPr>
        <w:t>供应商的任何错漏、优惠、竞争性报价不得作为减轻责任、减少服务、增加收费、降低服务质量的理由。</w:t>
      </w:r>
    </w:p>
    <w:p>
      <w:pPr>
        <w:widowControl/>
        <w:shd w:val="clear" w:color="auto" w:fill="FFFFFF"/>
        <w:autoSpaceDE w:val="0"/>
        <w:autoSpaceDN w:val="0"/>
        <w:adjustRightInd w:val="0"/>
        <w:snapToGrid w:val="0"/>
        <w:spacing w:line="560" w:lineRule="exact"/>
        <w:jc w:val="left"/>
        <w:rPr>
          <w:rFonts w:ascii="宋体" w:hAnsi="宋体" w:cs="宋体"/>
          <w:color w:val="000000"/>
          <w:szCs w:val="21"/>
          <w:lang w:val="ja-JP" w:eastAsia="ja-JP" w:bidi="ja-JP"/>
        </w:rPr>
      </w:pPr>
      <w:r>
        <w:rPr>
          <w:rFonts w:hint="eastAsia" w:ascii="宋体" w:hAnsi="宋体" w:cs="宋体"/>
          <w:color w:val="000000"/>
          <w:szCs w:val="21"/>
          <w:lang w:val="ja-JP" w:bidi="ja-JP"/>
        </w:rPr>
        <w:t>（</w:t>
      </w:r>
      <w:r>
        <w:rPr>
          <w:rFonts w:hint="eastAsia" w:ascii="宋体" w:hAnsi="宋体" w:cs="宋体"/>
          <w:color w:val="000000"/>
          <w:szCs w:val="21"/>
          <w:lang w:bidi="ja-JP"/>
        </w:rPr>
        <w:t>3</w:t>
      </w:r>
      <w:r>
        <w:rPr>
          <w:rFonts w:hint="eastAsia" w:ascii="宋体" w:hAnsi="宋体" w:cs="宋体"/>
          <w:color w:val="000000"/>
          <w:szCs w:val="21"/>
          <w:lang w:val="ja-JP" w:bidi="ja-JP"/>
        </w:rPr>
        <w:t>）</w:t>
      </w:r>
      <w:r>
        <w:rPr>
          <w:rFonts w:hint="eastAsia" w:ascii="宋体" w:hAnsi="宋体" w:cs="宋体"/>
          <w:color w:val="000000"/>
          <w:szCs w:val="21"/>
          <w:lang w:val="ja-JP" w:eastAsia="ja-JP" w:bidi="ja-JP"/>
        </w:rPr>
        <w:t>供应商报价除包含采购文件中列明的项目外还应包括保障服务正常运行应当具有的物资和服务，对服务正常运行应当具有的物资和服务理解不一致的以采购人理解为准。</w:t>
      </w:r>
    </w:p>
    <w:p>
      <w:pPr>
        <w:widowControl/>
        <w:shd w:val="clear" w:color="auto" w:fill="FFFFFF"/>
        <w:adjustRightInd w:val="0"/>
        <w:snapToGrid w:val="0"/>
        <w:spacing w:line="560" w:lineRule="exact"/>
        <w:jc w:val="left"/>
        <w:rPr>
          <w:rFonts w:ascii="宋体" w:hAnsi="宋体" w:cs="宋体"/>
          <w:color w:val="000000"/>
          <w:szCs w:val="21"/>
          <w:lang w:val="zh-CN"/>
        </w:rPr>
      </w:pPr>
      <w:r>
        <w:rPr>
          <w:rFonts w:hint="eastAsia" w:ascii="宋体" w:hAnsi="宋体" w:cs="宋体"/>
          <w:color w:val="000000"/>
          <w:szCs w:val="21"/>
          <w:lang w:val="zh-CN"/>
        </w:rPr>
        <w:t>7、</w:t>
      </w:r>
      <w:r>
        <w:rPr>
          <w:rFonts w:hint="eastAsia" w:ascii="宋体" w:hAnsi="宋体" w:cs="宋体"/>
          <w:b/>
          <w:bCs/>
          <w:color w:val="000000"/>
          <w:szCs w:val="21"/>
          <w:lang w:val="zh-CN"/>
        </w:rPr>
        <w:t>付款条件</w:t>
      </w:r>
      <w:r>
        <w:rPr>
          <w:rFonts w:hint="eastAsia" w:ascii="宋体" w:hAnsi="宋体" w:cs="宋体"/>
          <w:color w:val="000000"/>
          <w:szCs w:val="21"/>
          <w:lang w:val="zh-CN"/>
        </w:rPr>
        <w:t>：</w:t>
      </w:r>
    </w:p>
    <w:p>
      <w:pPr>
        <w:widowControl/>
        <w:shd w:val="clear" w:color="auto" w:fill="FFFFFF"/>
        <w:adjustRightInd w:val="0"/>
        <w:snapToGrid w:val="0"/>
        <w:spacing w:line="560" w:lineRule="exact"/>
        <w:jc w:val="left"/>
        <w:rPr>
          <w:rFonts w:ascii="宋体" w:hAnsi="宋体" w:cs="宋体"/>
          <w:color w:val="000000"/>
          <w:szCs w:val="21"/>
        </w:rPr>
      </w:pPr>
      <w:r>
        <w:rPr>
          <w:rFonts w:hint="eastAsia" w:ascii="宋体" w:hAnsi="宋体" w:cs="宋体"/>
          <w:color w:val="000000"/>
          <w:szCs w:val="21"/>
        </w:rPr>
        <w:t>（1）履约保证金：不涉及</w:t>
      </w:r>
    </w:p>
    <w:p>
      <w:pPr>
        <w:widowControl/>
        <w:shd w:val="clear" w:color="auto" w:fill="FFFFFF"/>
        <w:autoSpaceDE w:val="0"/>
        <w:autoSpaceDN w:val="0"/>
        <w:adjustRightInd w:val="0"/>
        <w:snapToGrid w:val="0"/>
        <w:spacing w:line="560" w:lineRule="exact"/>
        <w:jc w:val="left"/>
        <w:rPr>
          <w:rFonts w:ascii="宋体" w:hAnsi="宋体" w:cs="宋体"/>
          <w:b/>
          <w:bCs/>
          <w:color w:val="000000"/>
          <w:szCs w:val="21"/>
          <w:lang w:bidi="ja-JP"/>
        </w:rPr>
      </w:pPr>
      <w:r>
        <w:rPr>
          <w:rFonts w:hint="eastAsia" w:ascii="宋体" w:hAnsi="宋体" w:cs="宋体"/>
          <w:b/>
          <w:bCs/>
          <w:color w:val="000000"/>
          <w:szCs w:val="21"/>
          <w:lang w:val="ja-JP" w:eastAsia="ja-JP" w:bidi="ja-JP"/>
        </w:rPr>
        <w:t>（2）付款方式：</w:t>
      </w:r>
      <w:r>
        <w:rPr>
          <w:rFonts w:hint="eastAsia" w:ascii="宋体" w:hAnsi="宋体" w:cs="宋体"/>
          <w:b/>
          <w:bCs/>
          <w:color w:val="000000"/>
          <w:szCs w:val="21"/>
          <w:lang w:bidi="ja-JP"/>
        </w:rPr>
        <w:t>合同签订后，按年结算。</w:t>
      </w:r>
    </w:p>
    <w:p>
      <w:pPr>
        <w:adjustRightInd w:val="0"/>
        <w:snapToGrid w:val="0"/>
        <w:spacing w:line="560" w:lineRule="exact"/>
        <w:jc w:val="left"/>
        <w:rPr>
          <w:rFonts w:ascii="宋体" w:hAnsi="宋体" w:cs="宋体"/>
          <w:b/>
          <w:color w:val="000000"/>
          <w:szCs w:val="21"/>
          <w:lang w:val="zh-CN"/>
        </w:rPr>
      </w:pPr>
      <w:r>
        <w:rPr>
          <w:rFonts w:hint="eastAsia" w:ascii="宋体" w:hAnsi="宋体" w:cs="宋体"/>
          <w:b/>
          <w:color w:val="000000"/>
          <w:szCs w:val="21"/>
          <w:lang w:val="zh-CN"/>
        </w:rPr>
        <w:t>备注：</w:t>
      </w:r>
    </w:p>
    <w:p>
      <w:pPr>
        <w:adjustRightInd w:val="0"/>
        <w:snapToGrid w:val="0"/>
        <w:spacing w:line="560" w:lineRule="exact"/>
        <w:jc w:val="left"/>
        <w:rPr>
          <w:rFonts w:ascii="宋体" w:hAnsi="宋体" w:cs="宋体"/>
          <w:b/>
          <w:szCs w:val="21"/>
          <w:lang w:val="ja-JP" w:eastAsia="ja-JP" w:bidi="ja-JP"/>
        </w:rPr>
      </w:pPr>
      <w:r>
        <w:rPr>
          <w:rFonts w:hint="eastAsia" w:ascii="宋体" w:hAnsi="宋体" w:cs="宋体"/>
          <w:b/>
          <w:szCs w:val="21"/>
          <w:lang w:val="ja-JP" w:eastAsia="ja-JP" w:bidi="ja-JP"/>
        </w:rPr>
        <w:t>1、所有实质性要求在</w:t>
      </w:r>
      <w:r>
        <w:rPr>
          <w:rFonts w:hint="eastAsia" w:ascii="宋体" w:hAnsi="宋体" w:cs="宋体"/>
          <w:b/>
          <w:szCs w:val="21"/>
          <w:lang w:val="ja-JP" w:bidi="ja-JP"/>
        </w:rPr>
        <w:t>商谈</w:t>
      </w:r>
      <w:r>
        <w:rPr>
          <w:rFonts w:hint="eastAsia" w:ascii="宋体" w:hAnsi="宋体" w:cs="宋体"/>
          <w:b/>
          <w:szCs w:val="21"/>
          <w:lang w:val="ja-JP" w:eastAsia="ja-JP" w:bidi="ja-JP"/>
        </w:rPr>
        <w:t>过程中可以进行实质性变动，实质性变动须经采购人代表确认。</w:t>
      </w:r>
    </w:p>
    <w:p>
      <w:pPr>
        <w:adjustRightInd w:val="0"/>
        <w:snapToGrid w:val="0"/>
        <w:spacing w:line="560" w:lineRule="exact"/>
        <w:jc w:val="left"/>
        <w:rPr>
          <w:rFonts w:ascii="宋体" w:hAnsi="宋体" w:cs="宋体"/>
          <w:b/>
          <w:spacing w:val="-8"/>
          <w:szCs w:val="21"/>
        </w:rPr>
      </w:pPr>
      <w:r>
        <w:rPr>
          <w:rFonts w:hint="eastAsia" w:ascii="宋体" w:hAnsi="宋体" w:cs="宋体"/>
          <w:b/>
          <w:szCs w:val="21"/>
        </w:rPr>
        <w:t>2、</w:t>
      </w:r>
      <w:r>
        <w:rPr>
          <w:rFonts w:hint="eastAsia" w:ascii="宋体" w:hAnsi="宋体" w:cs="宋体"/>
          <w:b/>
          <w:bCs/>
          <w:szCs w:val="21"/>
          <w:lang w:val="zh-CN"/>
        </w:rPr>
        <w:t>本章商务部分要求及带星号（“★”）的技术要求均为实质性要求，不允许负偏离，否则作为无效报价。</w:t>
      </w:r>
    </w:p>
    <w:p>
      <w:pPr>
        <w:adjustRightInd w:val="0"/>
        <w:snapToGrid w:val="0"/>
        <w:spacing w:line="360" w:lineRule="auto"/>
        <w:rPr>
          <w:rFonts w:ascii="宋体" w:hAnsi="宋体" w:cs="宋体"/>
          <w:b/>
          <w:color w:val="000000"/>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81ED2E"/>
    <w:multiLevelType w:val="singleLevel"/>
    <w:tmpl w:val="2B81ED2E"/>
    <w:lvl w:ilvl="0" w:tentative="0">
      <w:start w:val="3"/>
      <w:numFmt w:val="chineseCounting"/>
      <w:suff w:val="nothing"/>
      <w:lvlText w:val="%1、"/>
      <w:lvlJc w:val="left"/>
      <w:rPr>
        <w:rFonts w:hint="eastAsia"/>
      </w:rPr>
    </w:lvl>
  </w:abstractNum>
  <w:abstractNum w:abstractNumId="1">
    <w:nsid w:val="7E5736C4"/>
    <w:multiLevelType w:val="multilevel"/>
    <w:tmpl w:val="7E5736C4"/>
    <w:lvl w:ilvl="0" w:tentative="0">
      <w:start w:val="1"/>
      <w:numFmt w:val="ideographDigital"/>
      <w:pStyle w:val="3"/>
      <w:lvlText w:val="第%1章."/>
      <w:lvlJc w:val="left"/>
      <w:pPr>
        <w:ind w:left="425" w:hanging="425"/>
      </w:pPr>
      <w:rPr>
        <w:rFonts w:hint="eastAsia"/>
      </w:rPr>
    </w:lvl>
    <w:lvl w:ilvl="1" w:tentative="0">
      <w:start w:val="1"/>
      <w:numFmt w:val="decimal"/>
      <w:pStyle w:val="4"/>
      <w:isLgl/>
      <w:lvlText w:val="%1.%2."/>
      <w:lvlJc w:val="left"/>
      <w:pPr>
        <w:ind w:left="567" w:hanging="567"/>
      </w:pPr>
      <w:rPr>
        <w:rFonts w:hint="eastAsia"/>
        <w:b/>
        <w:sz w:val="24"/>
      </w:rPr>
    </w:lvl>
    <w:lvl w:ilvl="2" w:tentative="0">
      <w:start w:val="1"/>
      <w:numFmt w:val="decimal"/>
      <w:pStyle w:val="5"/>
      <w:isLgl/>
      <w:lvlText w:val="%1.%2.%3."/>
      <w:lvlJc w:val="left"/>
      <w:pPr>
        <w:ind w:left="709" w:hanging="709"/>
      </w:pPr>
      <w:rPr>
        <w:rFonts w:hint="eastAsia"/>
      </w:rPr>
    </w:lvl>
    <w:lvl w:ilvl="3" w:tentative="0">
      <w:start w:val="1"/>
      <w:numFmt w:val="decimal"/>
      <w:pStyle w:val="6"/>
      <w:isLgl/>
      <w:lvlText w:val="%1.%2.%3.%4."/>
      <w:lvlJc w:val="left"/>
      <w:pPr>
        <w:ind w:left="851" w:hanging="851"/>
      </w:pPr>
      <w:rPr>
        <w:rFonts w:hint="eastAsia"/>
      </w:rPr>
    </w:lvl>
    <w:lvl w:ilvl="4" w:tentative="0">
      <w:start w:val="1"/>
      <w:numFmt w:val="decimal"/>
      <w:pStyle w:val="7"/>
      <w:isLgl/>
      <w:lvlText w:val="%1.%2.%3.%4.%5."/>
      <w:lvlJc w:val="left"/>
      <w:pPr>
        <w:ind w:left="992" w:hanging="992"/>
      </w:pPr>
      <w:rPr>
        <w:rFonts w:hint="eastAsia"/>
      </w:rPr>
    </w:lvl>
    <w:lvl w:ilvl="5" w:tentative="0">
      <w:start w:val="1"/>
      <w:numFmt w:val="decimal"/>
      <w:pStyle w:val="9"/>
      <w:isLgl/>
      <w:lvlText w:val="%1.%2.%3.%4.%5.%6."/>
      <w:lvlJc w:val="left"/>
      <w:pPr>
        <w:ind w:left="1134" w:hanging="1134"/>
      </w:pPr>
      <w:rPr>
        <w:rFonts w:hint="eastAsia"/>
      </w:rPr>
    </w:lvl>
    <w:lvl w:ilvl="6" w:tentative="0">
      <w:start w:val="1"/>
      <w:numFmt w:val="decimal"/>
      <w:isLgl/>
      <w:lvlText w:val="%1.%2.%3.%4.%5.%6.%7."/>
      <w:lvlJc w:val="left"/>
      <w:pPr>
        <w:ind w:left="1276" w:hanging="1276"/>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M2YyZWU0YTM4YThhYjM4MzViNDhjZWZlODViZDQifQ=="/>
  </w:docVars>
  <w:rsids>
    <w:rsidRoot w:val="00460A5C"/>
    <w:rsid w:val="000D4E07"/>
    <w:rsid w:val="00312FA4"/>
    <w:rsid w:val="00460A5C"/>
    <w:rsid w:val="00611244"/>
    <w:rsid w:val="00734CEC"/>
    <w:rsid w:val="00880568"/>
    <w:rsid w:val="008A3C7F"/>
    <w:rsid w:val="009236D7"/>
    <w:rsid w:val="00C70EFC"/>
    <w:rsid w:val="00D733AF"/>
    <w:rsid w:val="13AB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19"/>
    <w:qFormat/>
    <w:uiPriority w:val="0"/>
    <w:pPr>
      <w:keepNext/>
      <w:numPr>
        <w:ilvl w:val="0"/>
        <w:numId w:val="1"/>
      </w:numPr>
      <w:spacing w:before="240" w:beforeLines="100" w:after="240" w:afterLines="100"/>
      <w:ind w:firstLine="3865" w:firstLineChars="1203"/>
      <w:outlineLvl w:val="0"/>
    </w:pPr>
    <w:rPr>
      <w:rFonts w:ascii="黑体" w:eastAsia="黑体"/>
      <w:b/>
      <w:kern w:val="44"/>
      <w:sz w:val="32"/>
      <w:szCs w:val="28"/>
    </w:rPr>
  </w:style>
  <w:style w:type="paragraph" w:styleId="4">
    <w:name w:val="heading 2"/>
    <w:basedOn w:val="1"/>
    <w:next w:val="1"/>
    <w:link w:val="20"/>
    <w:qFormat/>
    <w:uiPriority w:val="0"/>
    <w:pPr>
      <w:keepNext/>
      <w:keepLines/>
      <w:numPr>
        <w:ilvl w:val="1"/>
        <w:numId w:val="1"/>
      </w:numPr>
      <w:spacing w:before="120" w:after="120"/>
      <w:jc w:val="left"/>
      <w:outlineLvl w:val="1"/>
    </w:pPr>
    <w:rPr>
      <w:rFonts w:ascii="宋体" w:hAnsi="宋体"/>
      <w:b/>
      <w:szCs w:val="24"/>
    </w:rPr>
  </w:style>
  <w:style w:type="paragraph" w:styleId="5">
    <w:name w:val="heading 3"/>
    <w:basedOn w:val="1"/>
    <w:next w:val="1"/>
    <w:link w:val="21"/>
    <w:qFormat/>
    <w:uiPriority w:val="0"/>
    <w:pPr>
      <w:keepNext/>
      <w:keepLines/>
      <w:numPr>
        <w:ilvl w:val="2"/>
        <w:numId w:val="1"/>
      </w:numPr>
      <w:shd w:val="clear" w:color="auto" w:fill="FFFFFF"/>
      <w:wordWrap w:val="0"/>
      <w:spacing w:line="390" w:lineRule="atLeast"/>
      <w:outlineLvl w:val="2"/>
    </w:pPr>
    <w:rPr>
      <w:rFonts w:ascii="宋体" w:hAnsi="宋体"/>
      <w:b/>
      <w:szCs w:val="21"/>
    </w:rPr>
  </w:style>
  <w:style w:type="paragraph" w:styleId="6">
    <w:name w:val="heading 4"/>
    <w:basedOn w:val="1"/>
    <w:next w:val="1"/>
    <w:link w:val="22"/>
    <w:qFormat/>
    <w:uiPriority w:val="0"/>
    <w:pPr>
      <w:keepNext/>
      <w:keepLines/>
      <w:numPr>
        <w:ilvl w:val="3"/>
        <w:numId w:val="1"/>
      </w:numPr>
      <w:spacing w:before="120" w:after="120"/>
      <w:outlineLvl w:val="3"/>
    </w:pPr>
    <w:rPr>
      <w:rFonts w:ascii="Arial" w:hAnsi="Arial" w:eastAsia="黑体"/>
      <w:b/>
      <w:sz w:val="28"/>
      <w:szCs w:val="24"/>
    </w:rPr>
  </w:style>
  <w:style w:type="paragraph" w:styleId="7">
    <w:name w:val="heading 5"/>
    <w:basedOn w:val="1"/>
    <w:next w:val="8"/>
    <w:link w:val="23"/>
    <w:qFormat/>
    <w:uiPriority w:val="0"/>
    <w:pPr>
      <w:keepNext/>
      <w:numPr>
        <w:ilvl w:val="4"/>
        <w:numId w:val="1"/>
      </w:numPr>
      <w:autoSpaceDE w:val="0"/>
      <w:autoSpaceDN w:val="0"/>
      <w:adjustRightInd w:val="0"/>
      <w:spacing w:before="156" w:beforeLines="50" w:after="156" w:afterLines="50"/>
      <w:outlineLvl w:val="4"/>
    </w:pPr>
    <w:rPr>
      <w:rFonts w:ascii="黑体" w:eastAsia="黑体"/>
      <w:b/>
      <w:color w:val="000000"/>
      <w:kern w:val="0"/>
      <w:sz w:val="28"/>
      <w:szCs w:val="24"/>
    </w:rPr>
  </w:style>
  <w:style w:type="paragraph" w:styleId="9">
    <w:name w:val="heading 6"/>
    <w:basedOn w:val="1"/>
    <w:next w:val="1"/>
    <w:link w:val="24"/>
    <w:qFormat/>
    <w:uiPriority w:val="0"/>
    <w:pPr>
      <w:keepNext/>
      <w:keepLines/>
      <w:numPr>
        <w:ilvl w:val="5"/>
        <w:numId w:val="1"/>
      </w:numPr>
      <w:spacing w:before="240" w:after="64" w:line="320" w:lineRule="auto"/>
      <w:outlineLvl w:val="5"/>
    </w:pPr>
    <w:rPr>
      <w:rFonts w:ascii="Arial" w:hAnsi="Arial" w:eastAsia="黑体"/>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semiHidden/>
    <w:unhideWhenUsed/>
    <w:qFormat/>
    <w:uiPriority w:val="99"/>
    <w:pPr>
      <w:spacing w:after="120"/>
    </w:pPr>
  </w:style>
  <w:style w:type="paragraph" w:styleId="8">
    <w:name w:val="Normal Indent"/>
    <w:basedOn w:val="1"/>
    <w:semiHidden/>
    <w:unhideWhenUsed/>
    <w:uiPriority w:val="99"/>
    <w:pPr>
      <w:ind w:firstLine="420" w:firstLineChars="200"/>
    </w:pPr>
  </w:style>
  <w:style w:type="paragraph" w:styleId="10">
    <w:name w:val="index 4"/>
    <w:basedOn w:val="1"/>
    <w:next w:val="1"/>
    <w:semiHidden/>
    <w:qFormat/>
    <w:uiPriority w:val="0"/>
    <w:pPr>
      <w:ind w:left="1260"/>
    </w:pPr>
    <w:rPr>
      <w:kern w:val="0"/>
      <w:sz w:val="24"/>
      <w:szCs w:val="24"/>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5"/>
    <w:link w:val="12"/>
    <w:qFormat/>
    <w:uiPriority w:val="99"/>
    <w:rPr>
      <w:sz w:val="18"/>
      <w:szCs w:val="18"/>
    </w:rPr>
  </w:style>
  <w:style w:type="character" w:customStyle="1" w:styleId="17">
    <w:name w:val="页脚 字符"/>
    <w:basedOn w:val="15"/>
    <w:link w:val="11"/>
    <w:qFormat/>
    <w:uiPriority w:val="99"/>
    <w:rPr>
      <w:sz w:val="18"/>
      <w:szCs w:val="18"/>
    </w:rPr>
  </w:style>
  <w:style w:type="character" w:customStyle="1" w:styleId="18">
    <w:name w:val="正文文本 字符"/>
    <w:basedOn w:val="15"/>
    <w:link w:val="2"/>
    <w:semiHidden/>
    <w:qFormat/>
    <w:uiPriority w:val="99"/>
    <w:rPr>
      <w:rFonts w:ascii="Times New Roman" w:hAnsi="Times New Roman" w:eastAsia="宋体" w:cs="Times New Roman"/>
      <w:szCs w:val="20"/>
    </w:rPr>
  </w:style>
  <w:style w:type="character" w:customStyle="1" w:styleId="19">
    <w:name w:val="标题 1 字符"/>
    <w:basedOn w:val="15"/>
    <w:link w:val="3"/>
    <w:qFormat/>
    <w:uiPriority w:val="0"/>
    <w:rPr>
      <w:rFonts w:ascii="黑体" w:hAnsi="Times New Roman" w:eastAsia="黑体" w:cs="Times New Roman"/>
      <w:b/>
      <w:kern w:val="44"/>
      <w:sz w:val="32"/>
      <w:szCs w:val="28"/>
    </w:rPr>
  </w:style>
  <w:style w:type="character" w:customStyle="1" w:styleId="20">
    <w:name w:val="标题 2 字符"/>
    <w:basedOn w:val="15"/>
    <w:link w:val="4"/>
    <w:uiPriority w:val="0"/>
    <w:rPr>
      <w:rFonts w:ascii="宋体" w:hAnsi="宋体" w:eastAsia="宋体" w:cs="Times New Roman"/>
      <w:b/>
      <w:szCs w:val="24"/>
    </w:rPr>
  </w:style>
  <w:style w:type="character" w:customStyle="1" w:styleId="21">
    <w:name w:val="标题 3 字符"/>
    <w:basedOn w:val="15"/>
    <w:link w:val="5"/>
    <w:qFormat/>
    <w:uiPriority w:val="0"/>
    <w:rPr>
      <w:rFonts w:ascii="宋体" w:hAnsi="宋体" w:eastAsia="宋体" w:cs="Times New Roman"/>
      <w:b/>
      <w:szCs w:val="21"/>
      <w:shd w:val="clear" w:color="auto" w:fill="FFFFFF"/>
    </w:rPr>
  </w:style>
  <w:style w:type="character" w:customStyle="1" w:styleId="22">
    <w:name w:val="标题 4 字符"/>
    <w:basedOn w:val="15"/>
    <w:link w:val="6"/>
    <w:uiPriority w:val="0"/>
    <w:rPr>
      <w:rFonts w:ascii="Arial" w:hAnsi="Arial" w:eastAsia="黑体" w:cs="Times New Roman"/>
      <w:b/>
      <w:sz w:val="28"/>
      <w:szCs w:val="24"/>
    </w:rPr>
  </w:style>
  <w:style w:type="character" w:customStyle="1" w:styleId="23">
    <w:name w:val="标题 5 字符"/>
    <w:basedOn w:val="15"/>
    <w:link w:val="7"/>
    <w:uiPriority w:val="0"/>
    <w:rPr>
      <w:rFonts w:ascii="黑体" w:hAnsi="Times New Roman" w:eastAsia="黑体" w:cs="Times New Roman"/>
      <w:b/>
      <w:color w:val="000000"/>
      <w:kern w:val="0"/>
      <w:sz w:val="28"/>
      <w:szCs w:val="24"/>
    </w:rPr>
  </w:style>
  <w:style w:type="character" w:customStyle="1" w:styleId="24">
    <w:name w:val="标题 6 字符"/>
    <w:basedOn w:val="15"/>
    <w:link w:val="9"/>
    <w:uiPriority w:val="0"/>
    <w:rPr>
      <w:rFonts w:ascii="Arial" w:hAnsi="Arial" w:eastAsia="黑体" w:cs="Times New Roman"/>
      <w:b/>
      <w:bCs/>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1461</Words>
  <Characters>1539</Characters>
  <Lines>11</Lines>
  <Paragraphs>3</Paragraphs>
  <TotalTime>1</TotalTime>
  <ScaleCrop>false</ScaleCrop>
  <LinksUpToDate>false</LinksUpToDate>
  <CharactersWithSpaces>1550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2022-12-08T08:58:00Z</dcterms:created>
  <dc:creator>user</dc:creator>
  <cp:lastModifiedBy>群</cp:lastModifiedBy>
  <dcterms:modified xsi:type="dcterms:W3CDTF">2022-12-13T08:58:04Z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51A3C21FDE964A02B6E099CF4999D558</vt:lpwstr>
  </property>
</Properties>
</file>